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28A5" w14:textId="77777777" w:rsidR="00623474" w:rsidRPr="00457E66" w:rsidRDefault="00623474" w:rsidP="00623474">
      <w:pPr>
        <w:tabs>
          <w:tab w:val="left" w:pos="6521"/>
        </w:tabs>
        <w:spacing w:after="0" w:line="240" w:lineRule="auto"/>
        <w:ind w:left="-426" w:right="-286"/>
        <w:jc w:val="center"/>
        <w:rPr>
          <w:rFonts w:ascii="Cambria" w:eastAsia="Times New Roman" w:hAnsi="Cambria" w:cs="Arial"/>
          <w:b/>
          <w:sz w:val="28"/>
          <w:szCs w:val="27"/>
          <w:shd w:val="clear" w:color="auto" w:fill="FFFFFF"/>
          <w:lang w:eastAsia="fr-FR"/>
        </w:rPr>
      </w:pPr>
      <w:r w:rsidRPr="00D2092F">
        <w:rPr>
          <w:rFonts w:ascii="Cambria" w:eastAsia="Times New Roman" w:hAnsi="Cambria" w:cs="Arial"/>
          <w:b/>
          <w:szCs w:val="27"/>
          <w:shd w:val="clear" w:color="auto" w:fill="FFFFFF"/>
          <w:lang w:eastAsia="fr-FR"/>
        </w:rPr>
        <w:t xml:space="preserve">Annexe </w:t>
      </w:r>
      <w:r>
        <w:rPr>
          <w:rFonts w:ascii="Cambria" w:eastAsia="Times New Roman" w:hAnsi="Cambria" w:cs="Arial"/>
          <w:b/>
          <w:szCs w:val="27"/>
          <w:shd w:val="clear" w:color="auto" w:fill="FFFFFF"/>
          <w:lang w:eastAsia="fr-FR"/>
        </w:rPr>
        <w:t>3</w:t>
      </w:r>
      <w:r w:rsidRPr="00D2092F">
        <w:rPr>
          <w:rFonts w:ascii="Cambria" w:eastAsia="Times New Roman" w:hAnsi="Cambria" w:cs="Arial"/>
          <w:b/>
          <w:szCs w:val="27"/>
          <w:shd w:val="clear" w:color="auto" w:fill="FFFFFF"/>
          <w:lang w:eastAsia="fr-FR"/>
        </w:rPr>
        <w:t xml:space="preserve"> : </w:t>
      </w:r>
      <w:r w:rsidRPr="00D2092F">
        <w:rPr>
          <w:rFonts w:ascii="Cambria" w:eastAsia="Times New Roman" w:hAnsi="Cambria" w:cs="Arial"/>
          <w:b/>
          <w:szCs w:val="27"/>
          <w:shd w:val="clear" w:color="auto" w:fill="FFFFFF"/>
          <w:lang w:eastAsia="fr-FR"/>
        </w:rPr>
        <w:br/>
      </w:r>
      <w:r>
        <w:rPr>
          <w:rFonts w:ascii="Cambria" w:eastAsia="Times New Roman" w:hAnsi="Cambria" w:cs="Arial"/>
          <w:b/>
          <w:sz w:val="28"/>
          <w:szCs w:val="27"/>
          <w:shd w:val="clear" w:color="auto" w:fill="FFFFFF"/>
          <w:lang w:eastAsia="fr-FR"/>
        </w:rPr>
        <w:br/>
      </w:r>
      <w:r w:rsidRPr="001C553D">
        <w:rPr>
          <w:rFonts w:ascii="Cambria" w:eastAsia="Times New Roman" w:hAnsi="Cambria" w:cs="Arial"/>
          <w:b/>
          <w:sz w:val="28"/>
          <w:szCs w:val="27"/>
          <w:shd w:val="clear" w:color="auto" w:fill="FFFFFF"/>
          <w:lang w:eastAsia="fr-FR"/>
        </w:rPr>
        <w:t>Le fait de rendre obligatoire le Nutri-Score est-il incompatible avec le règlement européen</w:t>
      </w:r>
      <w:r>
        <w:rPr>
          <w:rFonts w:ascii="Cambria" w:eastAsia="Times New Roman" w:hAnsi="Cambria" w:cs="Arial"/>
          <w:b/>
          <w:sz w:val="28"/>
          <w:szCs w:val="27"/>
          <w:shd w:val="clear" w:color="auto" w:fill="FFFFFF"/>
          <w:lang w:eastAsia="fr-FR"/>
        </w:rPr>
        <w:t> ?</w:t>
      </w:r>
    </w:p>
    <w:p w14:paraId="5ED12991" w14:textId="77777777" w:rsidR="00623474" w:rsidRDefault="00623474" w:rsidP="00623474">
      <w:pPr>
        <w:ind w:left="-426" w:right="-569"/>
        <w:textAlignment w:val="baseline"/>
        <w:rPr>
          <w:rFonts w:cstheme="minorHAnsi"/>
          <w:b/>
        </w:rPr>
      </w:pPr>
    </w:p>
    <w:p w14:paraId="0E038F11" w14:textId="624B2801" w:rsidR="009858F1" w:rsidRDefault="00623474" w:rsidP="00623474">
      <w:pPr>
        <w:ind w:left="-426" w:right="-569"/>
        <w:textAlignment w:val="baseline"/>
      </w:pPr>
      <w:r w:rsidRPr="002931C0">
        <w:rPr>
          <w:rFonts w:cstheme="minorHAnsi"/>
        </w:rPr>
        <w:br/>
      </w:r>
      <w:r w:rsidRPr="001C553D">
        <w:rPr>
          <w:rFonts w:cstheme="minorHAnsi"/>
          <w:sz w:val="24"/>
        </w:rPr>
        <w:t xml:space="preserve">Non ! l'argument </w:t>
      </w:r>
      <w:r>
        <w:rPr>
          <w:rFonts w:cstheme="minorHAnsi"/>
          <w:sz w:val="24"/>
        </w:rPr>
        <w:t>avancé, notamment par le</w:t>
      </w:r>
      <w:r w:rsidRPr="001C553D">
        <w:rPr>
          <w:rFonts w:cstheme="minorHAnsi"/>
          <w:sz w:val="24"/>
        </w:rPr>
        <w:t xml:space="preserve"> gouvernement pour refuser la mesure d'obligation de l’affichage du Nutri-Score sur tous les emballages des aliments au prétexte qu’elle serait contraire aux normes européennes (le même argument est utilisé par l'ANIA, l'Association Nationale des Industries Alimentaires) n'est absolument pas acceptable. C’est un alibi qui ne tient pas. </w:t>
      </w:r>
      <w:r>
        <w:rPr>
          <w:rFonts w:cstheme="minorHAnsi"/>
          <w:sz w:val="24"/>
        </w:rPr>
        <w:br/>
      </w:r>
      <w:r w:rsidRPr="001C553D">
        <w:rPr>
          <w:rFonts w:cstheme="minorHAnsi"/>
          <w:sz w:val="24"/>
        </w:rPr>
        <w:br/>
        <w:t xml:space="preserve">Sur le plan juridique européen, l’obligation d’affichage du Nutri-Score sur les aliments peut être justifiée par l’article 36 du Traité sur le fonctionnement de l’Union européenne (TFUE), qui autorise les </w:t>
      </w:r>
      <w:proofErr w:type="spellStart"/>
      <w:r w:rsidRPr="001C553D">
        <w:rPr>
          <w:rFonts w:cstheme="minorHAnsi"/>
          <w:sz w:val="24"/>
        </w:rPr>
        <w:t>Etats</w:t>
      </w:r>
      <w:proofErr w:type="spellEnd"/>
      <w:r w:rsidRPr="001C553D">
        <w:rPr>
          <w:rFonts w:cstheme="minorHAnsi"/>
          <w:sz w:val="24"/>
        </w:rPr>
        <w:t xml:space="preserve"> membres à déroger au principe de libre circulation des marchandises pour des motifs de protection de la santé publique, pour autant que la mesure soit nécessaire, proportionnée et non discriminatoire.</w:t>
      </w:r>
      <w:r w:rsidRPr="001C553D">
        <w:rPr>
          <w:rFonts w:cstheme="minorHAnsi"/>
          <w:sz w:val="24"/>
        </w:rPr>
        <w:br/>
      </w:r>
      <w:r>
        <w:rPr>
          <w:rFonts w:cstheme="minorHAnsi"/>
          <w:sz w:val="24"/>
        </w:rPr>
        <w:br/>
      </w:r>
      <w:r w:rsidRPr="001C553D">
        <w:rPr>
          <w:rFonts w:cstheme="minorHAnsi"/>
          <w:sz w:val="24"/>
        </w:rPr>
        <w:t>La mise en œuvre obligatoire du Nutri-Score répond à ces critères : parfaitement justifiée en termes de santé publique, elle ne favorise aucune entreprise, ni origine géographique particulière. Il s’agit d’une mesure proportionnée : ses coûts de mise en œuvre sont négligeables.</w:t>
      </w:r>
      <w:r w:rsidRPr="001C553D">
        <w:rPr>
          <w:rFonts w:cstheme="minorHAnsi"/>
          <w:sz w:val="24"/>
        </w:rPr>
        <w:br/>
      </w:r>
      <w:r>
        <w:rPr>
          <w:rFonts w:cstheme="minorHAnsi"/>
          <w:sz w:val="24"/>
        </w:rPr>
        <w:br/>
      </w:r>
      <w:r w:rsidRPr="001C553D">
        <w:rPr>
          <w:rFonts w:cstheme="minorHAnsi"/>
          <w:sz w:val="24"/>
        </w:rPr>
        <w:t xml:space="preserve">En outre, des précédents récents au sein de l’Union européenne confirment la validité de la démarche de rendre le Nutri-Score obligatoire dans notre pays. Ainsi, l’Irlande a adopté en 2023 un étiquetage sanitaire obligatoire sur les boissons alcoolisées précisant les risques liés à la consommation d’alcool. Cette initiative, qui allait au-delà des prescriptions européennes communes, illustre la marge d’appréciation reconnue aux </w:t>
      </w:r>
      <w:proofErr w:type="spellStart"/>
      <w:r w:rsidRPr="001C553D">
        <w:rPr>
          <w:rFonts w:cstheme="minorHAnsi"/>
          <w:sz w:val="24"/>
        </w:rPr>
        <w:t>Etats</w:t>
      </w:r>
      <w:proofErr w:type="spellEnd"/>
      <w:r w:rsidRPr="001C553D">
        <w:rPr>
          <w:rFonts w:cstheme="minorHAnsi"/>
          <w:sz w:val="24"/>
        </w:rPr>
        <w:t xml:space="preserve"> membres lorsqu’ils poursuivent un objectif impérieux de santé publique.</w:t>
      </w:r>
      <w:r w:rsidRPr="001C553D">
        <w:rPr>
          <w:rFonts w:cstheme="minorHAnsi"/>
          <w:sz w:val="24"/>
        </w:rPr>
        <w:br/>
        <w:t xml:space="preserve">De la même façon, la France a interdit en 2020, au nom du principe de précaution, les aliments contenant du dioxyde de titane (additif E171), malgré la réglementation européenne sur la libre circulation des produits et son utilisation dans d’autres </w:t>
      </w:r>
      <w:proofErr w:type="spellStart"/>
      <w:r w:rsidRPr="001C553D">
        <w:rPr>
          <w:rFonts w:cstheme="minorHAnsi"/>
          <w:sz w:val="24"/>
        </w:rPr>
        <w:t>Etats</w:t>
      </w:r>
      <w:proofErr w:type="spellEnd"/>
      <w:r w:rsidRPr="001C553D">
        <w:rPr>
          <w:rFonts w:cstheme="minorHAnsi"/>
          <w:sz w:val="24"/>
        </w:rPr>
        <w:t xml:space="preserve"> membres. L’interdiction unilatérale par la France a d’ailleurs favorisé l’adoption au niveau européen de la mesure qui est survenue deux années plus tard. Ainsi le fait de rendre obligatoire le Nutri-Score en France de façon anticipée pourrait favoriser la prise de décision par la CE d’une telle mesure qui était planifiée pour entrer en vigueur en 2022 mais qui n’a toujours pas été prise (du fait de l’action de puissants lobbies au niveau européen).</w:t>
      </w:r>
      <w:r w:rsidRPr="001C553D">
        <w:rPr>
          <w:rFonts w:cstheme="minorHAnsi"/>
          <w:sz w:val="24"/>
        </w:rPr>
        <w:br/>
      </w:r>
      <w:r>
        <w:rPr>
          <w:rFonts w:cstheme="minorHAnsi"/>
          <w:sz w:val="24"/>
        </w:rPr>
        <w:br/>
      </w:r>
      <w:r w:rsidRPr="001C553D">
        <w:rPr>
          <w:rFonts w:cstheme="minorHAnsi"/>
          <w:sz w:val="24"/>
        </w:rPr>
        <w:t>On peut noter également le contre-exemple de l’Italie qui a interdit l’usage du Nutri-Score sur certains produits alimentaires certifiés AOP ou IGP. Les arguments utilisés, bien qu’invoquant la protection du consommateur et du patrimoine agroalimentaire, n’ont rien à voir avec la protection de la santé publique. Il s’agit d’une mesure disproportionnée et discriminatoire et d’une entrave à la libre circulation des marchandises. Si l’Italie, au nom de la protection de son patrimoine agroalimentaire a interdit le Nutri-Score sans réaction de la Commission européenne, on ne voit pas comme cette même commission pourrait se mobiliser si la France le rend obligatoire au nom de la santé publique !</w:t>
      </w:r>
    </w:p>
    <w:sectPr w:rsidR="009858F1" w:rsidSect="00623474">
      <w:pgSz w:w="11906" w:h="16838"/>
      <w:pgMar w:top="119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74"/>
    <w:rsid w:val="002C65A8"/>
    <w:rsid w:val="00623474"/>
    <w:rsid w:val="009858F1"/>
    <w:rsid w:val="009A0620"/>
    <w:rsid w:val="00D918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75484"/>
  <w15:chartTrackingRefBased/>
  <w15:docId w15:val="{39132353-813E-4546-9E10-B7E9FE65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474"/>
    <w:pPr>
      <w:spacing w:line="259" w:lineRule="auto"/>
    </w:pPr>
    <w:rPr>
      <w:rFonts w:asciiTheme="minorHAnsi" w:hAnsiTheme="minorHAnsi"/>
      <w:kern w:val="0"/>
      <w:sz w:val="22"/>
      <w:szCs w:val="22"/>
      <w14:ligatures w14:val="none"/>
    </w:rPr>
  </w:style>
  <w:style w:type="paragraph" w:styleId="Titre1">
    <w:name w:val="heading 1"/>
    <w:basedOn w:val="Normal"/>
    <w:next w:val="Normal"/>
    <w:link w:val="Titre1Car"/>
    <w:uiPriority w:val="9"/>
    <w:qFormat/>
    <w:rsid w:val="0062347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62347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62347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62347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62347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62347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62347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62347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62347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34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34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347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62347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62347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62347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62347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62347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62347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62347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6234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347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62347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623474"/>
    <w:pPr>
      <w:spacing w:before="160" w:line="278" w:lineRule="auto"/>
      <w:jc w:val="center"/>
    </w:pPr>
    <w:rPr>
      <w:rFonts w:ascii="Georgia" w:hAnsi="Georgia"/>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623474"/>
    <w:rPr>
      <w:i/>
      <w:iCs/>
      <w:color w:val="404040" w:themeColor="text1" w:themeTint="BF"/>
    </w:rPr>
  </w:style>
  <w:style w:type="paragraph" w:styleId="Paragraphedeliste">
    <w:name w:val="List Paragraph"/>
    <w:basedOn w:val="Normal"/>
    <w:uiPriority w:val="34"/>
    <w:qFormat/>
    <w:rsid w:val="00623474"/>
    <w:pPr>
      <w:spacing w:line="278" w:lineRule="auto"/>
      <w:ind w:left="720"/>
      <w:contextualSpacing/>
    </w:pPr>
    <w:rPr>
      <w:rFonts w:ascii="Georgia" w:hAnsi="Georgia"/>
      <w:kern w:val="2"/>
      <w:sz w:val="24"/>
      <w:szCs w:val="24"/>
      <w14:ligatures w14:val="standardContextual"/>
    </w:rPr>
  </w:style>
  <w:style w:type="character" w:styleId="Accentuationintense">
    <w:name w:val="Intense Emphasis"/>
    <w:basedOn w:val="Policepardfaut"/>
    <w:uiPriority w:val="21"/>
    <w:qFormat/>
    <w:rsid w:val="00623474"/>
    <w:rPr>
      <w:i/>
      <w:iCs/>
      <w:color w:val="0F4761" w:themeColor="accent1" w:themeShade="BF"/>
    </w:rPr>
  </w:style>
  <w:style w:type="paragraph" w:styleId="Citationintense">
    <w:name w:val="Intense Quote"/>
    <w:basedOn w:val="Normal"/>
    <w:next w:val="Normal"/>
    <w:link w:val="CitationintenseCar"/>
    <w:uiPriority w:val="30"/>
    <w:qFormat/>
    <w:rsid w:val="0062347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eorgia" w:hAnsi="Georgia"/>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623474"/>
    <w:rPr>
      <w:i/>
      <w:iCs/>
      <w:color w:val="0F4761" w:themeColor="accent1" w:themeShade="BF"/>
    </w:rPr>
  </w:style>
  <w:style w:type="character" w:styleId="Rfrenceintense">
    <w:name w:val="Intense Reference"/>
    <w:basedOn w:val="Policepardfaut"/>
    <w:uiPriority w:val="32"/>
    <w:qFormat/>
    <w:rsid w:val="006234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2625</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Casolari</dc:creator>
  <cp:keywords/>
  <dc:description/>
  <cp:lastModifiedBy>Gérard Casolari</cp:lastModifiedBy>
  <cp:revision>1</cp:revision>
  <dcterms:created xsi:type="dcterms:W3CDTF">2026-05-25T13:59:00Z</dcterms:created>
  <dcterms:modified xsi:type="dcterms:W3CDTF">2026-05-25T13:59:00Z</dcterms:modified>
</cp:coreProperties>
</file>